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cs="仿宋_GB2312"/>
          <w:color w:val="000000"/>
          <w:kern w:val="0"/>
          <w:szCs w:val="32"/>
        </w:rPr>
      </w:pPr>
      <w:r>
        <w:rPr>
          <w:rFonts w:hint="eastAsia" w:ascii="仿宋_GB2312" w:hAnsi="宋体" w:cs="仿宋_GB2312"/>
          <w:color w:val="000000"/>
          <w:szCs w:val="32"/>
        </w:rPr>
        <w:t>附件1：</w:t>
      </w:r>
    </w:p>
    <w:p>
      <w:pPr>
        <w:widowControl/>
        <w:jc w:val="center"/>
        <w:rPr>
          <w:rFonts w:hint="eastAsia" w:ascii="仿宋_GB2312" w:cs="仿宋_GB2312"/>
          <w:b/>
          <w:color w:val="000000"/>
          <w:kern w:val="0"/>
          <w:sz w:val="36"/>
          <w:szCs w:val="32"/>
        </w:rPr>
      </w:pPr>
      <w:r>
        <w:rPr>
          <w:rFonts w:hint="eastAsia" w:ascii="仿宋_GB2312" w:cs="仿宋_GB2312"/>
          <w:b/>
          <w:color w:val="000000"/>
          <w:kern w:val="0"/>
          <w:sz w:val="36"/>
          <w:szCs w:val="32"/>
        </w:rPr>
        <w:t>新生学籍电子注册信息核查流程</w:t>
      </w:r>
    </w:p>
    <w:p>
      <w:pPr>
        <w:spacing w:line="600" w:lineRule="exact"/>
        <w:rPr>
          <w:rFonts w:hint="eastAsia" w:ascii="仿宋_GB2312" w:hAnsi="宋体" w:cs="仿宋_GB2312"/>
          <w:color w:val="000000"/>
          <w:szCs w:val="32"/>
        </w:rPr>
      </w:pPr>
      <w:r>
        <w:rPr>
          <w:rFonts w:hint="eastAsia" w:ascii="仿宋_GB2312" w:hAnsi="宋体" w:cs="仿宋_GB2312"/>
          <w:color w:val="000000"/>
          <w:szCs w:val="32"/>
        </w:rPr>
        <w:t xml:space="preserve">    查询网站为教育部指定学籍学历查询唯一网站：中国高等教育学生信息网（学信网），网址：</w:t>
      </w:r>
      <w:r>
        <w:rPr>
          <w:rFonts w:hint="eastAsia" w:ascii="仿宋_GB2312" w:hAnsi="宋体" w:cs="仿宋_GB2312"/>
          <w:color w:val="000000"/>
          <w:szCs w:val="32"/>
        </w:rPr>
        <w:fldChar w:fldCharType="begin"/>
      </w:r>
      <w:r>
        <w:rPr>
          <w:rFonts w:hint="eastAsia" w:ascii="仿宋_GB2312" w:hAnsi="宋体" w:cs="仿宋_GB2312"/>
          <w:color w:val="000000"/>
          <w:szCs w:val="32"/>
        </w:rPr>
        <w:instrText xml:space="preserve"> HYPERLINK "http://www.chsi.com.cn/" </w:instrText>
      </w:r>
      <w:r>
        <w:rPr>
          <w:rFonts w:hint="eastAsia" w:ascii="仿宋_GB2312" w:hAnsi="宋体" w:cs="仿宋_GB2312"/>
          <w:color w:val="000000"/>
          <w:szCs w:val="32"/>
        </w:rPr>
        <w:fldChar w:fldCharType="separate"/>
      </w:r>
      <w:r>
        <w:rPr>
          <w:rFonts w:hint="eastAsia" w:ascii="仿宋_GB2312" w:hAnsi="宋体" w:cs="仿宋_GB2312"/>
          <w:color w:val="000000"/>
          <w:szCs w:val="32"/>
        </w:rPr>
        <w:t>http://www.chsi.com.cn/</w:t>
      </w:r>
      <w:r>
        <w:rPr>
          <w:rFonts w:hint="eastAsia" w:ascii="仿宋_GB2312" w:hAnsi="宋体" w:cs="仿宋_GB2312"/>
          <w:color w:val="000000"/>
          <w:szCs w:val="32"/>
        </w:rPr>
        <w:fldChar w:fldCharType="end"/>
      </w:r>
      <w:r>
        <w:rPr>
          <w:rFonts w:hint="eastAsia" w:ascii="仿宋_GB2312" w:hAnsi="宋体" w:cs="仿宋_GB2312"/>
          <w:color w:val="000000"/>
          <w:szCs w:val="32"/>
        </w:rPr>
        <w:t>。查询流程如下：</w:t>
      </w:r>
    </w:p>
    <w:p>
      <w:pPr>
        <w:spacing w:line="600" w:lineRule="exact"/>
        <w:rPr>
          <w:rFonts w:hint="eastAsia" w:ascii="仿宋_GB2312" w:hAnsi="宋体" w:cs="仿宋_GB2312"/>
          <w:color w:val="000000"/>
          <w:szCs w:val="32"/>
        </w:rPr>
      </w:pPr>
      <w:bookmarkStart w:id="0" w:name="_GoBack"/>
      <w:r>
        <w:rPr>
          <w:rFonts w:hint="eastAsia" w:ascii="仿宋_GB2312" w:hAnsi="宋体" w:cs="仿宋_GB2312"/>
          <w:color w:val="00000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342265</wp:posOffset>
            </wp:positionV>
            <wp:extent cx="5614035" cy="3242310"/>
            <wp:effectExtent l="0" t="0" r="5715" b="1524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宋体" w:cs="仿宋_GB2312"/>
          <w:color w:val="000000"/>
          <w:szCs w:val="32"/>
        </w:rPr>
        <w:t xml:space="preserve">    第一步：登陆学信网，点击左侧“新生学籍”。</w:t>
      </w:r>
    </w:p>
    <w:p>
      <w:pPr>
        <w:widowControl/>
        <w:ind w:firstLine="632" w:firstLineChars="200"/>
        <w:rPr>
          <w:rFonts w:hint="eastAsia" w:ascii="仿宋_GB2312" w:cs="仿宋_GB2312"/>
          <w:color w:val="000000"/>
          <w:kern w:val="0"/>
          <w:szCs w:val="32"/>
        </w:rPr>
      </w:pPr>
    </w:p>
    <w:p>
      <w:pPr>
        <w:widowControl/>
        <w:ind w:firstLine="632" w:firstLineChars="200"/>
        <w:rPr>
          <w:rFonts w:hint="eastAsia" w:ascii="仿宋_GB2312" w:cs="仿宋_GB2312"/>
          <w:color w:val="000000"/>
          <w:kern w:val="0"/>
          <w:szCs w:val="32"/>
        </w:rPr>
      </w:pPr>
    </w:p>
    <w:p>
      <w:pPr>
        <w:widowControl/>
        <w:ind w:firstLine="632" w:firstLineChars="200"/>
        <w:rPr>
          <w:rFonts w:hint="eastAsia" w:ascii="仿宋_GB2312" w:cs="仿宋_GB2312"/>
          <w:color w:val="000000"/>
          <w:kern w:val="0"/>
          <w:szCs w:val="32"/>
        </w:rPr>
      </w:pPr>
    </w:p>
    <w:p>
      <w:pPr>
        <w:widowControl/>
        <w:ind w:firstLine="632" w:firstLineChars="200"/>
        <w:rPr>
          <w:rFonts w:hint="eastAsia" w:ascii="仿宋_GB2312" w:cs="仿宋_GB2312"/>
          <w:color w:val="000000"/>
          <w:kern w:val="0"/>
          <w:szCs w:val="32"/>
        </w:rPr>
      </w:pPr>
    </w:p>
    <w:p>
      <w:pPr>
        <w:widowControl/>
        <w:ind w:firstLine="632" w:firstLineChars="200"/>
        <w:rPr>
          <w:rFonts w:hint="eastAsia" w:ascii="仿宋_GB2312" w:cs="仿宋_GB2312"/>
          <w:color w:val="000000"/>
          <w:kern w:val="0"/>
          <w:szCs w:val="32"/>
        </w:rPr>
      </w:pPr>
    </w:p>
    <w:p>
      <w:pPr>
        <w:widowControl/>
        <w:ind w:firstLine="632" w:firstLineChars="200"/>
        <w:rPr>
          <w:rFonts w:hint="eastAsia" w:ascii="仿宋_GB2312" w:cs="仿宋_GB2312"/>
          <w:color w:val="000000"/>
          <w:kern w:val="0"/>
          <w:szCs w:val="32"/>
        </w:rPr>
      </w:pPr>
    </w:p>
    <w:p>
      <w:pPr>
        <w:widowControl/>
        <w:ind w:firstLine="632" w:firstLineChars="200"/>
        <w:rPr>
          <w:rFonts w:hint="eastAsia" w:ascii="仿宋_GB2312" w:cs="仿宋_GB2312"/>
          <w:color w:val="000000"/>
          <w:kern w:val="0"/>
          <w:szCs w:val="32"/>
        </w:rPr>
      </w:pPr>
    </w:p>
    <w:p>
      <w:pPr>
        <w:widowControl/>
        <w:ind w:firstLine="632" w:firstLineChars="200"/>
        <w:rPr>
          <w:rFonts w:hint="eastAsia" w:ascii="仿宋_GB2312" w:cs="仿宋_GB2312"/>
          <w:color w:val="000000"/>
          <w:kern w:val="0"/>
          <w:szCs w:val="32"/>
        </w:rPr>
      </w:pPr>
    </w:p>
    <w:p>
      <w:pPr>
        <w:widowControl/>
        <w:ind w:firstLine="632" w:firstLineChars="200"/>
        <w:rPr>
          <w:rFonts w:hint="eastAsia" w:ascii="仿宋_GB2312" w:cs="仿宋_GB2312"/>
          <w:color w:val="000000"/>
          <w:kern w:val="0"/>
          <w:szCs w:val="32"/>
        </w:rPr>
      </w:pPr>
    </w:p>
    <w:p>
      <w:pPr>
        <w:spacing w:line="600" w:lineRule="exact"/>
        <w:rPr>
          <w:rFonts w:hint="eastAsia" w:ascii="仿宋_GB2312" w:hAnsi="宋体" w:cs="仿宋_GB2312"/>
          <w:color w:val="000000"/>
          <w:szCs w:val="32"/>
        </w:rPr>
      </w:pPr>
      <w:r>
        <w:rPr>
          <w:rFonts w:hint="eastAsia" w:ascii="仿宋_GB2312" w:hAnsi="宋体" w:cs="仿宋_GB2312"/>
          <w:color w:val="000000"/>
          <w:szCs w:val="32"/>
        </w:rPr>
        <w:t xml:space="preserve">    第二步：学信网实名注册（已注册学信网用户名的可直接登陆）。注册时务必准确填写本人的真实姓名、证件类型、证件号码、手机号等。</w:t>
      </w:r>
      <w:r>
        <w:rPr>
          <w:rFonts w:hint="eastAsia" w:ascii="仿宋_GB2312" w:hAnsi="宋体" w:cs="仿宋_GB2312"/>
          <w:b/>
          <w:bCs/>
          <w:color w:val="000000"/>
          <w:szCs w:val="32"/>
        </w:rPr>
        <w:t>务必牢记注册信息。</w:t>
      </w:r>
    </w:p>
    <w:p>
      <w:pPr>
        <w:widowControl/>
        <w:tabs>
          <w:tab w:val="left" w:pos="640"/>
        </w:tabs>
        <w:jc w:val="center"/>
        <w:rPr>
          <w:rFonts w:hint="eastAsia" w:ascii="仿宋_GB2312" w:cs="仿宋_GB2312"/>
          <w:color w:val="000000"/>
          <w:kern w:val="0"/>
          <w:szCs w:val="32"/>
        </w:rPr>
      </w:pPr>
    </w:p>
    <w:p>
      <w:pPr>
        <w:widowControl/>
        <w:tabs>
          <w:tab w:val="left" w:pos="640"/>
        </w:tabs>
        <w:jc w:val="center"/>
        <w:rPr>
          <w:rFonts w:hint="eastAsia" w:ascii="仿宋_GB2312" w:cs="仿宋_GB2312"/>
          <w:color w:val="000000"/>
          <w:kern w:val="0"/>
          <w:szCs w:val="32"/>
        </w:rPr>
      </w:pPr>
      <w:r>
        <w:rPr>
          <w:rFonts w:hint="eastAsia" w:ascii="仿宋_GB2312" w:cs="仿宋_GB2312"/>
          <w:color w:val="000000"/>
          <w:kern w:val="0"/>
          <w:szCs w:val="32"/>
        </w:rPr>
        <w:drawing>
          <wp:inline distT="0" distB="0" distL="114300" distR="114300">
            <wp:extent cx="5619750" cy="28194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ascii="仿宋_GB2312" w:hAnsi="宋体" w:cs="仿宋_GB2312"/>
          <w:color w:val="000000"/>
          <w:szCs w:val="32"/>
        </w:rPr>
      </w:pPr>
      <w:r>
        <w:rPr>
          <w:rFonts w:hint="eastAsia" w:ascii="仿宋_GB2312" w:hAnsi="宋体" w:cs="仿宋_GB2312"/>
          <w:color w:val="000000"/>
          <w:szCs w:val="32"/>
        </w:rPr>
        <w:t xml:space="preserve">    注意：身份证号码重复。如果您使用的身份证号码已被注册使用，请首先确认是否曾经注册过学信网账号，若已注册过，请通过“找回用户名、找回密码”功能找回原有账号。若尚未注册过账号的，请参考学信网身份证号码重复的解决办法来完成注册。</w:t>
      </w:r>
    </w:p>
    <w:p>
      <w:pPr>
        <w:spacing w:line="600" w:lineRule="exact"/>
        <w:rPr>
          <w:rFonts w:hint="eastAsia" w:ascii="仿宋_GB2312" w:hAnsi="宋体" w:cs="仿宋_GB2312"/>
          <w:color w:val="000000"/>
          <w:szCs w:val="32"/>
        </w:rPr>
      </w:pPr>
      <w:r>
        <w:rPr>
          <w:rFonts w:hint="eastAsia" w:ascii="仿宋_GB2312" w:hAnsi="宋体" w:cs="仿宋_GB2312"/>
          <w:color w:val="000000"/>
          <w:szCs w:val="32"/>
        </w:rPr>
        <w:t xml:space="preserve">    第三步：重新登陆。</w:t>
      </w:r>
    </w:p>
    <w:p>
      <w:pPr>
        <w:spacing w:line="600" w:lineRule="exact"/>
        <w:rPr>
          <w:rFonts w:hint="eastAsia" w:ascii="仿宋_GB2312" w:hAnsi="宋体" w:cs="仿宋_GB2312"/>
          <w:color w:val="000000"/>
          <w:szCs w:val="32"/>
        </w:rPr>
      </w:pPr>
      <w:r>
        <w:rPr>
          <w:rFonts w:hint="eastAsia" w:ascii="仿宋_GB2312" w:hAnsi="宋体" w:cs="仿宋_GB2312"/>
          <w:color w:val="000000"/>
          <w:szCs w:val="32"/>
        </w:rPr>
        <w:t xml:space="preserve">    第四步：点击“学籍信息”，认真核对学信网上显示的本人各项学籍信息。</w:t>
      </w:r>
    </w:p>
    <w:p>
      <w:pPr>
        <w:spacing w:line="600" w:lineRule="atLeast"/>
        <w:ind w:firstLine="40"/>
        <w:rPr>
          <w:color w:val="000000"/>
          <w:shd w:val="clear" w:color="auto" w:fill="FFFFFF"/>
        </w:rPr>
      </w:pPr>
      <w:r>
        <w:rPr>
          <w:rFonts w:hint="eastAsia" w:ascii="仿宋_GB2312" w:cs="仿宋_GB2312"/>
          <w:color w:val="000000"/>
          <w:kern w:val="0"/>
          <w:szCs w:val="32"/>
        </w:rPr>
        <w:drawing>
          <wp:inline distT="0" distB="0" distL="114300" distR="114300">
            <wp:extent cx="5610225" cy="2514600"/>
            <wp:effectExtent l="0" t="0" r="9525" b="0"/>
            <wp:docPr id="1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ascii="仿宋_GB2312" w:hAnsi="宋体" w:cs="仿宋_GB2312"/>
          <w:color w:val="000000"/>
          <w:szCs w:val="32"/>
        </w:rPr>
      </w:pPr>
      <w:r>
        <w:rPr>
          <w:rFonts w:hint="eastAsia" w:ascii="仿宋_GB2312" w:hAnsi="宋体" w:cs="仿宋_GB2312"/>
          <w:color w:val="000000"/>
          <w:szCs w:val="32"/>
        </w:rPr>
        <w:t xml:space="preserve">    若信息无误，不做任何操作，直接退出登陆即完成核对工作。</w:t>
      </w:r>
    </w:p>
    <w:p>
      <w:pPr>
        <w:spacing w:line="600" w:lineRule="exact"/>
        <w:rPr>
          <w:rFonts w:hint="eastAsia" w:ascii="仿宋_GB2312" w:hAnsi="宋体" w:cs="仿宋_GB2312"/>
          <w:color w:val="000000"/>
          <w:szCs w:val="32"/>
        </w:rPr>
        <w:sectPr>
          <w:pgSz w:w="11907" w:h="16840"/>
          <w:pgMar w:top="2098" w:right="1474" w:bottom="1985" w:left="1588" w:header="851" w:footer="992" w:gutter="0"/>
          <w:cols w:space="425" w:num="1"/>
          <w:docGrid w:type="linesAndChars" w:linePitch="579" w:charSpace="-842"/>
        </w:sectPr>
      </w:pPr>
      <w:r>
        <w:rPr>
          <w:rFonts w:hint="eastAsia" w:ascii="仿宋_GB2312" w:hAnsi="宋体" w:cs="仿宋_GB2312"/>
          <w:color w:val="000000"/>
          <w:szCs w:val="32"/>
        </w:rPr>
        <w:t xml:space="preserve">    若信息有误，及时向研究生院反映并提供符合规定的申请及证明材料。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D2B98"/>
    <w:rsid w:val="468D2B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2016-10-10T01:13:00Z</dcterms:created>
  <dc:creator>Administrator</dc:creator>
  <cp:lastModifiedBy>Administrator</cp:lastModifiedBy>
  <dcterms:modified xsi:type="dcterms:W3CDTF">2016-10-10T01:13:54Z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